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6189" w14:textId="15781861" w:rsidR="00BB30F4" w:rsidRDefault="00EF6E4C" w:rsidP="00EF6E4C">
      <w:pPr>
        <w:pStyle w:val="berschrift3"/>
        <w:jc w:val="center"/>
        <w:rPr>
          <w:rFonts w:hint="eastAsia"/>
        </w:rPr>
      </w:pPr>
      <w:r w:rsidRPr="00EF6E4C">
        <w:rPr>
          <w:highlight w:val="yellow"/>
        </w:rPr>
        <w:t>Vor-/Nachname</w:t>
      </w:r>
      <w:r w:rsidR="00000000">
        <w:tab/>
      </w:r>
      <w:r w:rsidR="00000000">
        <w:tab/>
      </w:r>
      <w:r w:rsidRPr="00EF6E4C">
        <w:rPr>
          <w:highlight w:val="yellow"/>
        </w:rPr>
        <w:t>Fach</w:t>
      </w:r>
      <w:r w:rsidR="00000000">
        <w:tab/>
      </w:r>
      <w:r w:rsidR="00000000">
        <w:tab/>
        <w:t>Exemplar zur ersten Durchsicht</w:t>
      </w:r>
    </w:p>
    <w:p w14:paraId="5D9EBC94" w14:textId="77777777" w:rsidR="00BB30F4" w:rsidRDefault="00000000">
      <w:pPr>
        <w:pStyle w:val="berschrift3"/>
        <w:rPr>
          <w:rFonts w:hint="eastAsia"/>
        </w:rPr>
      </w:pPr>
      <w:r>
        <w:t>Studienverlauf</w:t>
      </w: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84"/>
        <w:gridCol w:w="4036"/>
        <w:gridCol w:w="3210"/>
      </w:tblGrid>
      <w:tr w:rsidR="00BB30F4" w14:paraId="7D7513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5649D" w14:textId="77777777" w:rsidR="00BB30F4" w:rsidRDefault="00000000">
            <w:pPr>
              <w:pStyle w:val="Tabellenstil2"/>
            </w:pPr>
            <w:r>
              <w:rPr>
                <w:rFonts w:ascii="EB Garamond Regular Bold" w:hAnsi="EB Garamond Regular Bold"/>
              </w:rPr>
              <w:t>Semester</w:t>
            </w: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B5A0" w14:textId="77777777" w:rsidR="00BB30F4" w:rsidRDefault="00000000">
            <w:pPr>
              <w:pStyle w:val="Tabellenstil2"/>
            </w:pPr>
            <w:r>
              <w:rPr>
                <w:rFonts w:ascii="EB Garamond Regular Bold" w:hAnsi="EB Garamond Regular Bold"/>
              </w:rPr>
              <w:t>Lehrveranstaltung</w:t>
            </w: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185C1" w14:textId="77777777" w:rsidR="00BB30F4" w:rsidRDefault="00000000">
            <w:pPr>
              <w:pStyle w:val="Tabellenstil2"/>
            </w:pPr>
            <w:proofErr w:type="spellStart"/>
            <w:r>
              <w:rPr>
                <w:rFonts w:ascii="EB Garamond Regular Bold" w:hAnsi="EB Garamond Regular Bold"/>
              </w:rPr>
              <w:t>Dozent:in</w:t>
            </w:r>
            <w:proofErr w:type="spellEnd"/>
          </w:p>
        </w:tc>
      </w:tr>
      <w:tr w:rsidR="00BB30F4" w14:paraId="1A9007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FE602" w14:textId="2086D1B4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836A" w14:textId="50B73C08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94530" w14:textId="3E8D444F" w:rsidR="00BB30F4" w:rsidRDefault="00BB30F4">
            <w:pPr>
              <w:pStyle w:val="Text"/>
              <w:rPr>
                <w:rFonts w:hint="eastAsia"/>
              </w:rPr>
            </w:pPr>
          </w:p>
        </w:tc>
      </w:tr>
      <w:tr w:rsidR="00BB30F4" w14:paraId="6D1215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856B" w14:textId="6F27B536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D2E04" w14:textId="325A63E6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B289D" w14:textId="02A2E73A" w:rsidR="00BB30F4" w:rsidRDefault="00BB30F4">
            <w:pPr>
              <w:pStyle w:val="Text"/>
              <w:rPr>
                <w:rFonts w:hint="eastAsia"/>
              </w:rPr>
            </w:pPr>
          </w:p>
        </w:tc>
      </w:tr>
      <w:tr w:rsidR="00BB30F4" w14:paraId="24E8A3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F9ED1" w14:textId="615FDC1D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B02F" w14:textId="40665F14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FE95E" w14:textId="4C8252EF" w:rsidR="00BB30F4" w:rsidRDefault="00BB30F4">
            <w:pPr>
              <w:pStyle w:val="Text"/>
              <w:rPr>
                <w:rFonts w:hint="eastAsia"/>
              </w:rPr>
            </w:pPr>
          </w:p>
        </w:tc>
      </w:tr>
      <w:tr w:rsidR="00BB30F4" w14:paraId="283593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2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66D4" w14:textId="358C3C59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4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59B65" w14:textId="2A34A338" w:rsidR="00BB30F4" w:rsidRDefault="00BB30F4">
            <w:pPr>
              <w:pStyle w:val="Text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5D5D" w14:textId="3EB46933" w:rsidR="00BB30F4" w:rsidRDefault="00BB30F4">
            <w:pPr>
              <w:pStyle w:val="Text"/>
              <w:rPr>
                <w:rFonts w:hint="eastAsia"/>
              </w:rPr>
            </w:pPr>
          </w:p>
        </w:tc>
      </w:tr>
    </w:tbl>
    <w:p w14:paraId="2A60B4A2" w14:textId="77777777" w:rsidR="00BB30F4" w:rsidRDefault="00BB30F4">
      <w:pPr>
        <w:pStyle w:val="Text"/>
        <w:rPr>
          <w:rFonts w:hint="eastAsia"/>
        </w:rPr>
      </w:pPr>
    </w:p>
    <w:p w14:paraId="7154EA8C" w14:textId="2AEABA84" w:rsidR="00BB30F4" w:rsidRDefault="00000000" w:rsidP="00EF6E4C">
      <w:pPr>
        <w:pStyle w:val="berschrift3"/>
      </w:pPr>
      <w:r>
        <w:t>Schwerpunktgebiet</w:t>
      </w:r>
    </w:p>
    <w:p w14:paraId="0F423EAD" w14:textId="77777777" w:rsidR="00EF6E4C" w:rsidRPr="00EF6E4C" w:rsidRDefault="00EF6E4C" w:rsidP="00EF6E4C">
      <w:pPr>
        <w:pStyle w:val="Text"/>
        <w:rPr>
          <w:rFonts w:hint="eastAsia"/>
        </w:rPr>
      </w:pPr>
    </w:p>
    <w:p w14:paraId="42FA8D4A" w14:textId="5FF3E6D1" w:rsidR="00BB30F4" w:rsidRPr="00EF6E4C" w:rsidRDefault="00000000" w:rsidP="00EF6E4C">
      <w:pPr>
        <w:pStyle w:val="Text"/>
        <w:jc w:val="center"/>
        <w:rPr>
          <w:rFonts w:ascii="EB Garamond Regular Medium" w:eastAsia="EB Garamond Regular Medium" w:hAnsi="EB Garamond Regular Medium" w:cs="EB Garamond Regular Medium" w:hint="eastAsia"/>
          <w:i/>
          <w:iCs/>
        </w:rPr>
      </w:pPr>
      <w:r>
        <w:rPr>
          <w:rFonts w:ascii="EB Garamond Regular Medium" w:hAnsi="EB Garamond Regular Medium"/>
          <w:i/>
          <w:iCs/>
        </w:rPr>
        <w:t>Gottes Bund mit den Menschen im Pentateuch (unter besonderer Berücksichtigung der priesterschriftlichen Texte)</w:t>
      </w:r>
    </w:p>
    <w:p w14:paraId="210B1B43" w14:textId="77777777" w:rsidR="00BB30F4" w:rsidRDefault="00000000">
      <w:pPr>
        <w:pStyle w:val="berschrift3"/>
        <w:rPr>
          <w:rFonts w:hint="eastAsia"/>
          <w:sz w:val="32"/>
          <w:szCs w:val="32"/>
        </w:rPr>
      </w:pPr>
      <w:r>
        <w:t>Literatur</w:t>
      </w:r>
    </w:p>
    <w:p w14:paraId="4221A8D7" w14:textId="77777777" w:rsidR="00BB30F4" w:rsidRDefault="00000000">
      <w:pPr>
        <w:pStyle w:val="Text"/>
        <w:spacing w:after="160" w:line="288" w:lineRule="auto"/>
        <w:rPr>
          <w:rFonts w:hint="eastAsia"/>
        </w:rPr>
      </w:pPr>
      <w:proofErr w:type="spellStart"/>
      <w:r>
        <w:rPr>
          <w:smallCaps/>
        </w:rPr>
        <w:t>Konkel</w:t>
      </w:r>
      <w:proofErr w:type="spellEnd"/>
      <w:r>
        <w:rPr>
          <w:smallCaps/>
        </w:rPr>
        <w:t>, Michael,</w:t>
      </w:r>
      <w:r>
        <w:t xml:space="preserve"> Vergebung ohne Umkehr. Die Bundestheologie als theologische Mitte </w:t>
      </w:r>
      <w:proofErr w:type="gramStart"/>
      <w:r>
        <w:t>des Pentateuch</w:t>
      </w:r>
      <w:proofErr w:type="gramEnd"/>
      <w:r>
        <w:t xml:space="preserve">, in: </w:t>
      </w:r>
      <w:proofErr w:type="spellStart"/>
      <w:r>
        <w:t>Biberger</w:t>
      </w:r>
      <w:proofErr w:type="spellEnd"/>
      <w:r>
        <w:t>, B./Gerwig, M./Schmiedl, J (</w:t>
      </w:r>
      <w:proofErr w:type="spellStart"/>
      <w:r>
        <w:t>Hg</w:t>
      </w:r>
      <w:proofErr w:type="spellEnd"/>
      <w:r>
        <w:t>.), Bundestheologie. Gott und Mensch in Beziehung, Vallendar 2015, S. 59–82.</w:t>
      </w:r>
    </w:p>
    <w:p w14:paraId="20570F3B" w14:textId="77777777" w:rsidR="00BB30F4" w:rsidRDefault="00000000">
      <w:pPr>
        <w:pStyle w:val="Text"/>
        <w:spacing w:after="160" w:line="288" w:lineRule="auto"/>
        <w:rPr>
          <w:rFonts w:hint="eastAsia"/>
          <w:sz w:val="32"/>
          <w:szCs w:val="32"/>
        </w:rPr>
      </w:pPr>
      <w:r>
        <w:rPr>
          <w:smallCaps/>
        </w:rPr>
        <w:t>Krause, Joachim,</w:t>
      </w:r>
      <w:r>
        <w:t xml:space="preserve"> Die Bedingungen des Bundes. Studien zur konditionalen Struktur alttestamentlicher Bundeskonzeptionen, FAT 140, Tübingen 2020, S. 49–108 [III. Die </w:t>
      </w:r>
      <w:proofErr w:type="spellStart"/>
      <w:r>
        <w:rPr>
          <w:lang w:val="nl-NL"/>
        </w:rPr>
        <w:t>konditionale</w:t>
      </w:r>
      <w:proofErr w:type="spellEnd"/>
      <w:r>
        <w:t xml:space="preserve"> Struktur des Bundes nach der priesterlichen Konzeption].</w:t>
      </w:r>
    </w:p>
    <w:p w14:paraId="46F01D14" w14:textId="77777777" w:rsidR="00BB30F4" w:rsidRDefault="00000000">
      <w:pPr>
        <w:pStyle w:val="Text"/>
        <w:spacing w:after="160" w:line="288" w:lineRule="auto"/>
        <w:rPr>
          <w:rFonts w:hint="eastAsia"/>
          <w:sz w:val="32"/>
          <w:szCs w:val="32"/>
        </w:rPr>
      </w:pPr>
      <w:r>
        <w:rPr>
          <w:smallCaps/>
        </w:rPr>
        <w:t>Lohfink, Norbert</w:t>
      </w:r>
      <w:r>
        <w:t xml:space="preserve">, Bund als Vertrag im Deuteronomium, in: </w:t>
      </w:r>
      <w:proofErr w:type="spellStart"/>
      <w:r>
        <w:rPr>
          <w:smallCaps/>
        </w:rPr>
        <w:t>Ders</w:t>
      </w:r>
      <w:proofErr w:type="spellEnd"/>
      <w:r>
        <w:rPr>
          <w:smallCaps/>
        </w:rPr>
        <w:t>.,</w:t>
      </w:r>
      <w:r>
        <w:t xml:space="preserve"> </w:t>
      </w:r>
      <w:proofErr w:type="spellStart"/>
      <w:r>
        <w:t>Sudien</w:t>
      </w:r>
      <w:proofErr w:type="spellEnd"/>
      <w:r>
        <w:t xml:space="preserve"> zum Deuteronomium und zur deuteronomistischen Literatur, Bd. 4, Stuttgart 2000, S. 285–309.</w:t>
      </w:r>
    </w:p>
    <w:p w14:paraId="04986F85" w14:textId="77777777" w:rsidR="00BB30F4" w:rsidRDefault="00000000">
      <w:pPr>
        <w:pStyle w:val="Text"/>
        <w:spacing w:after="160" w:line="288" w:lineRule="auto"/>
        <w:rPr>
          <w:rFonts w:hint="eastAsia"/>
          <w:sz w:val="32"/>
          <w:szCs w:val="32"/>
        </w:rPr>
      </w:pPr>
      <w:proofErr w:type="spellStart"/>
      <w:r>
        <w:rPr>
          <w:smallCaps/>
        </w:rPr>
        <w:t>Smend</w:t>
      </w:r>
      <w:proofErr w:type="spellEnd"/>
      <w:r>
        <w:rPr>
          <w:smallCaps/>
        </w:rPr>
        <w:t>, Rudolf,</w:t>
      </w:r>
      <w:r>
        <w:t xml:space="preserve"> Die Bundesformel, Zürich 1963.</w:t>
      </w:r>
    </w:p>
    <w:p w14:paraId="66FB0054" w14:textId="77777777" w:rsidR="00BB30F4" w:rsidRDefault="00000000">
      <w:pPr>
        <w:pStyle w:val="Text"/>
        <w:spacing w:after="160" w:line="288" w:lineRule="auto"/>
        <w:rPr>
          <w:rFonts w:hint="eastAsia"/>
          <w:sz w:val="32"/>
          <w:szCs w:val="32"/>
        </w:rPr>
      </w:pPr>
      <w:r>
        <w:rPr>
          <w:smallCaps/>
        </w:rPr>
        <w:t>Stipp, Hermann-Josef,</w:t>
      </w:r>
      <w:r>
        <w:t xml:space="preserve"> „Meinen Bund hat er gebrochen“ (Gen 17,14). Die Individualisierung des Bundesbruchs in der Priesterschrift, in: </w:t>
      </w:r>
      <w:proofErr w:type="spellStart"/>
      <w:r>
        <w:rPr>
          <w:smallCaps/>
        </w:rPr>
        <w:t>Ders</w:t>
      </w:r>
      <w:proofErr w:type="spellEnd"/>
      <w:r>
        <w:rPr>
          <w:smallCaps/>
        </w:rPr>
        <w:t>.</w:t>
      </w:r>
      <w:r>
        <w:t>, Alttestamentliche Studien: Arbeiten zu Priesterschrift, deuteronomistischem Geschichtswerk und Prophetie, BZAW 442, Berlin 2013, S. 117–139.</w:t>
      </w:r>
    </w:p>
    <w:p w14:paraId="46488D80" w14:textId="77777777" w:rsidR="00BB30F4" w:rsidRDefault="00000000">
      <w:pPr>
        <w:pStyle w:val="Text"/>
        <w:spacing w:after="160" w:line="288" w:lineRule="auto"/>
        <w:rPr>
          <w:rFonts w:hint="eastAsia"/>
        </w:rPr>
      </w:pPr>
      <w:r w:rsidRPr="00EF6E4C">
        <w:rPr>
          <w:smallCaps/>
        </w:rPr>
        <w:t>Zimmerli, Walther,</w:t>
      </w:r>
      <w:r>
        <w:t xml:space="preserve"> </w:t>
      </w:r>
      <w:proofErr w:type="spellStart"/>
      <w:r>
        <w:t>Sinaibund</w:t>
      </w:r>
      <w:proofErr w:type="spellEnd"/>
      <w:r>
        <w:t xml:space="preserve"> und </w:t>
      </w:r>
      <w:proofErr w:type="spellStart"/>
      <w:r>
        <w:t>Abrahambund</w:t>
      </w:r>
      <w:proofErr w:type="spellEnd"/>
      <w:r>
        <w:t xml:space="preserve">. Ein Beitrag zum Verständnis der Priesterschrift, in: </w:t>
      </w:r>
      <w:proofErr w:type="spellStart"/>
      <w:r>
        <w:rPr>
          <w:smallCaps/>
        </w:rPr>
        <w:t>Ders</w:t>
      </w:r>
      <w:proofErr w:type="spellEnd"/>
      <w:r>
        <w:t>., Gottes Offenbarung. Gesammelte Aufsätze zum Alten Testament, München 1969, S. 205–216.</w:t>
      </w:r>
    </w:p>
    <w:sectPr w:rsidR="00BB30F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0BEA4" w14:textId="77777777" w:rsidR="00674077" w:rsidRDefault="00674077">
      <w:r>
        <w:separator/>
      </w:r>
    </w:p>
  </w:endnote>
  <w:endnote w:type="continuationSeparator" w:id="0">
    <w:p w14:paraId="20C69945" w14:textId="77777777" w:rsidR="00674077" w:rsidRDefault="006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B Garamond Regular">
    <w:altName w:val="EB GARAMOND REGULAR ROMAN"/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EB Garamond Regular Bold">
    <w:altName w:val="EB GARAMOND REGULAR ROMAN"/>
    <w:panose1 w:val="020B0604020202020204"/>
    <w:charset w:val="00"/>
    <w:family w:val="roman"/>
    <w:pitch w:val="default"/>
  </w:font>
  <w:font w:name="EB Garamond Regular Medium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34D4" w14:textId="77777777" w:rsidR="00BB30F4" w:rsidRDefault="00BB30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3DA6" w14:textId="77777777" w:rsidR="00674077" w:rsidRDefault="00674077">
      <w:r>
        <w:separator/>
      </w:r>
    </w:p>
  </w:footnote>
  <w:footnote w:type="continuationSeparator" w:id="0">
    <w:p w14:paraId="2E2639CA" w14:textId="77777777" w:rsidR="00674077" w:rsidRDefault="00674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63E3F" w14:textId="77777777" w:rsidR="00BB30F4" w:rsidRDefault="00000000">
    <w:pPr>
      <w:pStyle w:val="Kopf-undFuzeilen"/>
      <w:tabs>
        <w:tab w:val="clear" w:pos="9020"/>
        <w:tab w:val="center" w:pos="4819"/>
        <w:tab w:val="right" w:pos="9638"/>
      </w:tabs>
    </w:pPr>
    <w:r>
      <w:rPr>
        <w:rFonts w:ascii="EB Garamond Regular" w:hAnsi="EB Garamond Regular"/>
      </w:rPr>
      <w:tab/>
    </w:r>
    <w:r>
      <w:rPr>
        <w:rFonts w:ascii="EB Garamond Regular" w:hAnsi="EB Garamond Regular"/>
      </w:rPr>
      <w:tab/>
    </w:r>
    <w:r>
      <w:rPr>
        <w:rFonts w:ascii="EB Garamond Regular" w:hAnsi="EB Garamond Regular"/>
      </w:rPr>
      <w:fldChar w:fldCharType="begin" w:fldLock="1"/>
    </w:r>
    <w:r>
      <w:rPr>
        <w:rFonts w:ascii="EB Garamond Regular" w:hAnsi="EB Garamond Regular"/>
      </w:rPr>
      <w:instrText xml:space="preserve"> DATE \@ "dddd, d. MMMM y" </w:instrText>
    </w:r>
    <w:r>
      <w:rPr>
        <w:rFonts w:ascii="EB Garamond Regular" w:hAnsi="EB Garamond Regular"/>
      </w:rPr>
      <w:fldChar w:fldCharType="separate"/>
    </w:r>
    <w:r>
      <w:rPr>
        <w:rFonts w:ascii="EB Garamond Regular" w:hAnsi="EB Garamond Regular"/>
      </w:rPr>
      <w:t>Mittwoch, 12. April 2023</w:t>
    </w:r>
    <w:r>
      <w:rPr>
        <w:rFonts w:ascii="EB Garamond Regular" w:eastAsia="EB Garamond Regular" w:hAnsi="EB Garamond Regular" w:cs="EB Garamond Regular"/>
      </w:rPr>
      <w:fldChar w:fldCharType="end"/>
    </w:r>
    <w:r>
      <w:rPr>
        <w:rFonts w:ascii="EB Garamond Regular" w:eastAsia="EB Garamond Regular" w:hAnsi="EB Garamond Regular" w:cs="EB Garamond Regular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0F4"/>
    <w:rsid w:val="00674077"/>
    <w:rsid w:val="00BB30F4"/>
    <w:rsid w:val="00E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0E04B"/>
  <w15:docId w15:val="{FC76FD7B-93AB-3242-8565-1215C851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3">
    <w:name w:val="heading 3"/>
    <w:next w:val="Text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EB Garamond Regular" w:hAnsi="EB Garamond Regular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100"/>
    </w:pPr>
    <w:rPr>
      <w:rFonts w:ascii="EB Garamond Regular" w:hAnsi="EB Garamond Regular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EB Garamond Regular" w:eastAsia="EB Garamond Regular" w:hAnsi="EB Garamond Regular" w:cs="EB Garamond Regular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EB Garamond Regular"/>
            <a:ea typeface="EB Garamond Regular"/>
            <a:cs typeface="EB Garamond Regular"/>
            <a:sym typeface="EB Garamond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Xiggos, Nefeli</cp:lastModifiedBy>
  <cp:revision>2</cp:revision>
  <dcterms:created xsi:type="dcterms:W3CDTF">2023-05-22T09:57:00Z</dcterms:created>
  <dcterms:modified xsi:type="dcterms:W3CDTF">2023-05-22T09:58:00Z</dcterms:modified>
</cp:coreProperties>
</file>